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BF" w:rsidRDefault="009005BF" w:rsidP="009005BF">
      <w:pPr>
        <w:rPr>
          <w:rStyle w:val="Poudarek"/>
          <w:i w:val="0"/>
          <w:iCs w:val="0"/>
        </w:rPr>
      </w:pPr>
    </w:p>
    <w:p w:rsidR="006E44B2" w:rsidRDefault="006E44B2" w:rsidP="006E44B2">
      <w:pPr>
        <w:spacing w:after="0"/>
        <w:rPr>
          <w:b/>
        </w:rPr>
      </w:pPr>
    </w:p>
    <w:p w:rsidR="006E44B2" w:rsidRDefault="006E44B2" w:rsidP="006E44B2">
      <w:pPr>
        <w:spacing w:after="0"/>
        <w:jc w:val="center"/>
        <w:rPr>
          <w:b/>
          <w:sz w:val="28"/>
        </w:rPr>
      </w:pPr>
      <w:r w:rsidRPr="0026311E">
        <w:rPr>
          <w:b/>
          <w:sz w:val="28"/>
        </w:rPr>
        <w:t>KRITERIJI ZA DODELITEV DENARNE POMOČI UČENCEM IZ SREDSTEV ŠOLSKEGA SKLADA</w:t>
      </w:r>
    </w:p>
    <w:p w:rsidR="00074723" w:rsidRDefault="00074723" w:rsidP="006E44B2">
      <w:pPr>
        <w:spacing w:after="0"/>
        <w:jc w:val="center"/>
        <w:rPr>
          <w:b/>
          <w:sz w:val="28"/>
        </w:rPr>
      </w:pPr>
    </w:p>
    <w:p w:rsidR="00074723" w:rsidRPr="00EB3FF4" w:rsidRDefault="00074723" w:rsidP="00EB3FF4">
      <w:pPr>
        <w:spacing w:after="0"/>
      </w:pPr>
      <w:r w:rsidRPr="00EB3FF4">
        <w:t>Upravni odbor Šolskega sklada Osnovne šole Stanka Vraza Ormož (v nadaljevanju Šolski sklad) je na svoji redni seji</w:t>
      </w:r>
      <w:r w:rsidR="00E12CE4">
        <w:t>,</w:t>
      </w:r>
      <w:r w:rsidRPr="00EB3FF4">
        <w:t xml:space="preserve"> dne 20. 11. 2024</w:t>
      </w:r>
      <w:r w:rsidR="00E12CE4">
        <w:t>,</w:t>
      </w:r>
      <w:r w:rsidRPr="00EB3FF4">
        <w:t xml:space="preserve"> sprejel kriterije za dodelitev denarne pomoči </w:t>
      </w:r>
      <w:r w:rsidR="00117244" w:rsidRPr="00EB3FF4">
        <w:t xml:space="preserve">učencem </w:t>
      </w:r>
      <w:r w:rsidRPr="00EB3FF4">
        <w:t>iz sredstev Šolskega sklada.</w:t>
      </w:r>
    </w:p>
    <w:p w:rsidR="006E44B2" w:rsidRPr="00EB3FF4" w:rsidRDefault="006E44B2" w:rsidP="00EB3FF4">
      <w:pPr>
        <w:spacing w:after="0"/>
        <w:ind w:left="708" w:firstLine="708"/>
      </w:pPr>
    </w:p>
    <w:p w:rsidR="00EB3FF4" w:rsidRPr="00EB3FF4" w:rsidRDefault="006E44B2" w:rsidP="00EB3FF4">
      <w:pPr>
        <w:numPr>
          <w:ilvl w:val="0"/>
          <w:numId w:val="3"/>
        </w:numPr>
        <w:spacing w:after="0"/>
        <w:jc w:val="center"/>
        <w:rPr>
          <w:b/>
        </w:rPr>
      </w:pPr>
      <w:r w:rsidRPr="00EB3FF4">
        <w:rPr>
          <w:b/>
        </w:rPr>
        <w:t>člen</w:t>
      </w:r>
    </w:p>
    <w:p w:rsidR="006E44B2" w:rsidRPr="00EB3FF4" w:rsidRDefault="006E44B2" w:rsidP="00EB3FF4">
      <w:pPr>
        <w:spacing w:after="0"/>
        <w:jc w:val="center"/>
        <w:rPr>
          <w:b/>
        </w:rPr>
      </w:pPr>
      <w:r w:rsidRPr="00EB3FF4">
        <w:rPr>
          <w:b/>
        </w:rPr>
        <w:t>Dokazila za ugotovitev stanja in določitev višine zneska</w:t>
      </w:r>
    </w:p>
    <w:p w:rsidR="006E44B2" w:rsidRPr="00EB3FF4" w:rsidRDefault="006E44B2" w:rsidP="00EB3FF4">
      <w:pPr>
        <w:spacing w:after="0"/>
      </w:pPr>
      <w:r w:rsidRPr="00EB3FF4">
        <w:t>Starši</w:t>
      </w:r>
      <w:r w:rsidR="00EC57EF" w:rsidRPr="00EB3FF4">
        <w:t xml:space="preserve"> ali zakoniti zastopnik</w:t>
      </w:r>
      <w:r w:rsidR="00E12CE4">
        <w:t>i</w:t>
      </w:r>
      <w:r w:rsidR="00EC57EF" w:rsidRPr="00EB3FF4">
        <w:t xml:space="preserve"> </w:t>
      </w:r>
      <w:r w:rsidRPr="00EB3FF4">
        <w:t xml:space="preserve">ob izpolnjeni vlogi (dostopna je na spletni strani šole ali pri razredniku) za dodeljevanje </w:t>
      </w:r>
      <w:r w:rsidR="006A258A" w:rsidRPr="00EB3FF4">
        <w:t>denarne</w:t>
      </w:r>
      <w:r w:rsidRPr="00EB3FF4">
        <w:t xml:space="preserve"> pomoči iz šolskega sklada predložijo:</w:t>
      </w:r>
    </w:p>
    <w:p w:rsidR="00EC57EF" w:rsidRPr="00EB3FF4" w:rsidRDefault="00EC57EF" w:rsidP="00EB3FF4">
      <w:pPr>
        <w:pStyle w:val="Odstavekseznam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FF4">
        <w:rPr>
          <w:rFonts w:ascii="Times New Roman" w:hAnsi="Times New Roman"/>
          <w:sz w:val="24"/>
          <w:szCs w:val="24"/>
        </w:rPr>
        <w:t>veljavno odločbo po Zakonu o uveljavljanju pravic iz javnih sredstev (ZUPJS), ki zajema:</w:t>
      </w:r>
    </w:p>
    <w:p w:rsidR="00EC57EF" w:rsidRPr="00EB3FF4" w:rsidRDefault="00EC57EF" w:rsidP="00EB3FF4">
      <w:pPr>
        <w:pStyle w:val="Odstavekseznama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FF4">
        <w:rPr>
          <w:rFonts w:ascii="Times New Roman" w:hAnsi="Times New Roman"/>
          <w:sz w:val="24"/>
          <w:szCs w:val="24"/>
        </w:rPr>
        <w:t>otroški dodatek,</w:t>
      </w:r>
    </w:p>
    <w:p w:rsidR="00EC57EF" w:rsidRPr="00EB3FF4" w:rsidRDefault="00EC57EF" w:rsidP="00EB3FF4">
      <w:pPr>
        <w:pStyle w:val="Odstavekseznama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FF4">
        <w:rPr>
          <w:rFonts w:ascii="Times New Roman" w:hAnsi="Times New Roman"/>
          <w:sz w:val="24"/>
          <w:szCs w:val="24"/>
        </w:rPr>
        <w:t>denarno socialno pomoč,</w:t>
      </w:r>
    </w:p>
    <w:p w:rsidR="00EC57EF" w:rsidRPr="00EB3FF4" w:rsidRDefault="00EC57EF" w:rsidP="00EB3FF4">
      <w:pPr>
        <w:pStyle w:val="Odstavekseznama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FF4">
        <w:rPr>
          <w:rFonts w:ascii="Times New Roman" w:hAnsi="Times New Roman"/>
          <w:sz w:val="24"/>
          <w:szCs w:val="24"/>
        </w:rPr>
        <w:t>varstveni dodatek,</w:t>
      </w:r>
    </w:p>
    <w:p w:rsidR="00EC57EF" w:rsidRPr="00EB3FF4" w:rsidRDefault="00EC57EF" w:rsidP="00EB3FF4">
      <w:pPr>
        <w:pStyle w:val="Odstavekseznama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FF4">
        <w:rPr>
          <w:rFonts w:ascii="Times New Roman" w:hAnsi="Times New Roman"/>
          <w:sz w:val="24"/>
          <w:szCs w:val="24"/>
        </w:rPr>
        <w:t>državno štipendijo,</w:t>
      </w:r>
    </w:p>
    <w:p w:rsidR="00EC57EF" w:rsidRPr="00EB3FF4" w:rsidRDefault="00EC57EF" w:rsidP="00EB3FF4">
      <w:pPr>
        <w:pStyle w:val="Odstavekseznam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FF4">
        <w:rPr>
          <w:rFonts w:ascii="Times New Roman" w:hAnsi="Times New Roman"/>
          <w:sz w:val="24"/>
          <w:szCs w:val="24"/>
        </w:rPr>
        <w:t>potrdilo o brezposelnosti ali potrdilo o višini denarnega nadomestila za čas brezposelnosti, izdano s strani Zavoda Republike Slovenije za zaposlovanje.</w:t>
      </w:r>
    </w:p>
    <w:p w:rsidR="00EC57EF" w:rsidRPr="00EB3FF4" w:rsidRDefault="00EC57EF" w:rsidP="00EB3FF4">
      <w:pPr>
        <w:spacing w:after="0"/>
      </w:pPr>
      <w:r w:rsidRPr="00EB3FF4">
        <w:t>V kolikor je predlagatelj strokovni delavec</w:t>
      </w:r>
      <w:r w:rsidR="00E12CE4">
        <w:t>,</w:t>
      </w:r>
      <w:r w:rsidRPr="00EB3FF4">
        <w:t xml:space="preserve"> si od staršev pridobi vsa potrebna dokazila za ugotovitev stanja.</w:t>
      </w:r>
    </w:p>
    <w:p w:rsidR="006E44B2" w:rsidRPr="00EB3FF4" w:rsidRDefault="006E44B2" w:rsidP="00EB3FF4">
      <w:pPr>
        <w:pStyle w:val="Odstavekseznam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3FF4" w:rsidRPr="00EB3FF4" w:rsidRDefault="006E44B2" w:rsidP="00EB3FF4">
      <w:pPr>
        <w:numPr>
          <w:ilvl w:val="0"/>
          <w:numId w:val="3"/>
        </w:numPr>
        <w:spacing w:after="0"/>
        <w:jc w:val="center"/>
        <w:rPr>
          <w:b/>
        </w:rPr>
      </w:pPr>
      <w:r w:rsidRPr="00EB3FF4">
        <w:rPr>
          <w:b/>
        </w:rPr>
        <w:t>člen</w:t>
      </w:r>
    </w:p>
    <w:p w:rsidR="006E44B2" w:rsidRPr="00EB3FF4" w:rsidRDefault="006E44B2" w:rsidP="00EB3FF4">
      <w:pPr>
        <w:spacing w:after="0"/>
        <w:jc w:val="center"/>
        <w:rPr>
          <w:b/>
        </w:rPr>
      </w:pPr>
      <w:r w:rsidRPr="00EB3FF4">
        <w:rPr>
          <w:b/>
        </w:rPr>
        <w:t xml:space="preserve">Kriteriji za dodeljevanje </w:t>
      </w:r>
      <w:r w:rsidR="006A258A" w:rsidRPr="00EB3FF4">
        <w:rPr>
          <w:b/>
        </w:rPr>
        <w:t>denarne</w:t>
      </w:r>
      <w:r w:rsidRPr="00EB3FF4">
        <w:rPr>
          <w:b/>
        </w:rPr>
        <w:t xml:space="preserve"> pomoči</w:t>
      </w:r>
    </w:p>
    <w:p w:rsidR="006E44B2" w:rsidRPr="00EB3FF4" w:rsidRDefault="006E44B2" w:rsidP="00EB3FF4">
      <w:pPr>
        <w:pStyle w:val="Odstavekseznam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B3FF4">
        <w:rPr>
          <w:rFonts w:ascii="Times New Roman" w:hAnsi="Times New Roman"/>
          <w:sz w:val="24"/>
          <w:szCs w:val="24"/>
        </w:rPr>
        <w:t>V kriteriju za dodeljevanje pomoči se upošteva veljavn</w:t>
      </w:r>
      <w:r w:rsidR="00BF65CE" w:rsidRPr="00EB3FF4">
        <w:rPr>
          <w:rFonts w:ascii="Times New Roman" w:hAnsi="Times New Roman"/>
          <w:sz w:val="24"/>
          <w:szCs w:val="24"/>
        </w:rPr>
        <w:t>a</w:t>
      </w:r>
      <w:r w:rsidRPr="00EB3FF4">
        <w:rPr>
          <w:rFonts w:ascii="Times New Roman" w:hAnsi="Times New Roman"/>
          <w:sz w:val="24"/>
          <w:szCs w:val="24"/>
        </w:rPr>
        <w:t xml:space="preserve"> odločb</w:t>
      </w:r>
      <w:r w:rsidR="00461A0D" w:rsidRPr="00EB3FF4">
        <w:rPr>
          <w:rFonts w:ascii="Times New Roman" w:hAnsi="Times New Roman"/>
          <w:sz w:val="24"/>
          <w:szCs w:val="24"/>
        </w:rPr>
        <w:t>a</w:t>
      </w:r>
      <w:r w:rsidRPr="00EB3FF4">
        <w:rPr>
          <w:rFonts w:ascii="Times New Roman" w:hAnsi="Times New Roman"/>
          <w:sz w:val="24"/>
          <w:szCs w:val="24"/>
        </w:rPr>
        <w:t xml:space="preserve"> državne institucije, iz katere je razvidno številčno in premoženjsko stanje družine </w:t>
      </w:r>
      <w:r w:rsidR="006A258A" w:rsidRPr="00EB3FF4">
        <w:rPr>
          <w:rFonts w:ascii="Times New Roman" w:hAnsi="Times New Roman"/>
          <w:sz w:val="24"/>
          <w:szCs w:val="24"/>
        </w:rPr>
        <w:t>vlagatelja</w:t>
      </w:r>
      <w:r w:rsidRPr="00EB3FF4">
        <w:rPr>
          <w:rFonts w:ascii="Times New Roman" w:hAnsi="Times New Roman"/>
          <w:sz w:val="24"/>
          <w:szCs w:val="24"/>
        </w:rPr>
        <w:t xml:space="preserve"> v skladu z Zakonom o uveljavljanju pravic iz javnih sredstev (ZUPJS).</w:t>
      </w:r>
    </w:p>
    <w:p w:rsidR="006E44B2" w:rsidRPr="00EB3FF4" w:rsidRDefault="00461A0D" w:rsidP="00EB3FF4">
      <w:pPr>
        <w:spacing w:after="0"/>
      </w:pPr>
      <w:r w:rsidRPr="00EB3FF4">
        <w:t>Učencu</w:t>
      </w:r>
      <w:r w:rsidR="006E44B2" w:rsidRPr="00EB3FF4">
        <w:t xml:space="preserve"> se </w:t>
      </w:r>
      <w:r w:rsidRPr="00EB3FF4">
        <w:t>določi</w:t>
      </w:r>
      <w:r w:rsidR="006E44B2" w:rsidRPr="00EB3FF4">
        <w:t xml:space="preserve"> višina </w:t>
      </w:r>
      <w:r w:rsidRPr="00EB3FF4">
        <w:t>denarne pomoči</w:t>
      </w:r>
      <w:r w:rsidR="006E44B2" w:rsidRPr="00EB3FF4">
        <w:t xml:space="preserve"> glede na spodnjo tabelo:</w:t>
      </w:r>
    </w:p>
    <w:tbl>
      <w:tblPr>
        <w:tblW w:w="94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55"/>
        <w:gridCol w:w="3969"/>
        <w:gridCol w:w="2811"/>
      </w:tblGrid>
      <w:tr w:rsidR="006E44B2" w:rsidRPr="00EB3FF4" w:rsidTr="00EB3FF4">
        <w:trPr>
          <w:trHeight w:val="330"/>
        </w:trPr>
        <w:tc>
          <w:tcPr>
            <w:tcW w:w="534" w:type="dxa"/>
            <w:shd w:val="clear" w:color="auto" w:fill="auto"/>
          </w:tcPr>
          <w:p w:rsidR="006E44B2" w:rsidRPr="00EB3FF4" w:rsidRDefault="006E44B2" w:rsidP="00EB3FF4">
            <w:pPr>
              <w:spacing w:after="0"/>
              <w:rPr>
                <w:b/>
              </w:rPr>
            </w:pPr>
            <w:r w:rsidRPr="00EB3FF4">
              <w:rPr>
                <w:b/>
              </w:rPr>
              <w:t>Št.</w:t>
            </w:r>
          </w:p>
        </w:tc>
        <w:tc>
          <w:tcPr>
            <w:tcW w:w="2155" w:type="dxa"/>
            <w:shd w:val="clear" w:color="auto" w:fill="auto"/>
          </w:tcPr>
          <w:p w:rsidR="006E44B2" w:rsidRPr="00EB3FF4" w:rsidRDefault="006E44B2" w:rsidP="00EB3FF4">
            <w:pPr>
              <w:spacing w:after="0"/>
              <w:rPr>
                <w:b/>
              </w:rPr>
            </w:pPr>
            <w:r w:rsidRPr="00EB3FF4">
              <w:rPr>
                <w:b/>
              </w:rPr>
              <w:t>Kriterij</w:t>
            </w:r>
          </w:p>
        </w:tc>
        <w:tc>
          <w:tcPr>
            <w:tcW w:w="3969" w:type="dxa"/>
            <w:shd w:val="clear" w:color="auto" w:fill="auto"/>
          </w:tcPr>
          <w:p w:rsidR="006E44B2" w:rsidRPr="00EB3FF4" w:rsidRDefault="006E44B2" w:rsidP="00EB3FF4">
            <w:pPr>
              <w:spacing w:after="0"/>
              <w:rPr>
                <w:b/>
              </w:rPr>
            </w:pPr>
            <w:r w:rsidRPr="00EB3FF4">
              <w:rPr>
                <w:b/>
              </w:rPr>
              <w:t>Lestvica</w:t>
            </w:r>
          </w:p>
        </w:tc>
        <w:tc>
          <w:tcPr>
            <w:tcW w:w="2811" w:type="dxa"/>
            <w:shd w:val="clear" w:color="auto" w:fill="auto"/>
          </w:tcPr>
          <w:p w:rsidR="006E44B2" w:rsidRPr="00EB3FF4" w:rsidRDefault="00B21D0D" w:rsidP="00EB3FF4">
            <w:pPr>
              <w:spacing w:after="0"/>
              <w:rPr>
                <w:b/>
              </w:rPr>
            </w:pPr>
            <w:r w:rsidRPr="00EB3FF4">
              <w:rPr>
                <w:b/>
              </w:rPr>
              <w:t>Delež denarne pomoči</w:t>
            </w:r>
          </w:p>
        </w:tc>
      </w:tr>
      <w:tr w:rsidR="00B21D0D" w:rsidRPr="00EB3FF4" w:rsidTr="00EB3FF4">
        <w:trPr>
          <w:trHeight w:val="299"/>
        </w:trPr>
        <w:tc>
          <w:tcPr>
            <w:tcW w:w="534" w:type="dxa"/>
            <w:vMerge w:val="restart"/>
            <w:shd w:val="clear" w:color="auto" w:fill="auto"/>
          </w:tcPr>
          <w:p w:rsidR="00B21D0D" w:rsidRPr="00EB3FF4" w:rsidRDefault="00A61C4F" w:rsidP="00EB3FF4">
            <w:pPr>
              <w:spacing w:after="0"/>
              <w:rPr>
                <w:b/>
              </w:rPr>
            </w:pPr>
            <w:r w:rsidRPr="00EB3FF4">
              <w:rPr>
                <w:b/>
              </w:rPr>
              <w:t xml:space="preserve">1. 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B21D0D" w:rsidRPr="00EB3FF4" w:rsidRDefault="00B21D0D" w:rsidP="00EB3FF4">
            <w:pPr>
              <w:spacing w:after="0"/>
            </w:pPr>
          </w:p>
          <w:p w:rsidR="00B21D0D" w:rsidRPr="00EB3FF4" w:rsidRDefault="00B21D0D" w:rsidP="00EB3FF4">
            <w:pPr>
              <w:spacing w:after="0"/>
            </w:pPr>
            <w:r w:rsidRPr="00EB3FF4">
              <w:t>Mesečni dohodek na družinskega člana</w:t>
            </w:r>
          </w:p>
        </w:tc>
        <w:tc>
          <w:tcPr>
            <w:tcW w:w="3969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>I. dohodkovni razred</w:t>
            </w:r>
          </w:p>
        </w:tc>
        <w:tc>
          <w:tcPr>
            <w:tcW w:w="2811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>80 %</w:t>
            </w:r>
          </w:p>
        </w:tc>
      </w:tr>
      <w:tr w:rsidR="00B21D0D" w:rsidRPr="00EB3FF4" w:rsidTr="00EB3FF4">
        <w:trPr>
          <w:trHeight w:val="299"/>
        </w:trPr>
        <w:tc>
          <w:tcPr>
            <w:tcW w:w="534" w:type="dxa"/>
            <w:vMerge/>
            <w:shd w:val="clear" w:color="auto" w:fill="auto"/>
          </w:tcPr>
          <w:p w:rsidR="00B21D0D" w:rsidRPr="00EB3FF4" w:rsidRDefault="00B21D0D" w:rsidP="00EB3FF4">
            <w:pPr>
              <w:spacing w:after="0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B21D0D" w:rsidRPr="00EB3FF4" w:rsidRDefault="00B21D0D" w:rsidP="00EB3FF4">
            <w:pPr>
              <w:spacing w:after="0"/>
            </w:pPr>
          </w:p>
        </w:tc>
        <w:tc>
          <w:tcPr>
            <w:tcW w:w="3969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 xml:space="preserve">II. dohodkovni razred </w:t>
            </w:r>
          </w:p>
        </w:tc>
        <w:tc>
          <w:tcPr>
            <w:tcW w:w="2811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>70 %</w:t>
            </w:r>
          </w:p>
        </w:tc>
      </w:tr>
      <w:tr w:rsidR="00B21D0D" w:rsidRPr="00EB3FF4" w:rsidTr="00EB3FF4">
        <w:trPr>
          <w:trHeight w:val="299"/>
        </w:trPr>
        <w:tc>
          <w:tcPr>
            <w:tcW w:w="534" w:type="dxa"/>
            <w:vMerge/>
            <w:shd w:val="clear" w:color="auto" w:fill="auto"/>
          </w:tcPr>
          <w:p w:rsidR="00B21D0D" w:rsidRPr="00EB3FF4" w:rsidRDefault="00B21D0D" w:rsidP="00EB3FF4">
            <w:pPr>
              <w:spacing w:after="0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B21D0D" w:rsidRPr="00EB3FF4" w:rsidRDefault="00B21D0D" w:rsidP="00EB3FF4">
            <w:pPr>
              <w:spacing w:after="0"/>
            </w:pPr>
          </w:p>
        </w:tc>
        <w:tc>
          <w:tcPr>
            <w:tcW w:w="3969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>III. dohodkovni razred</w:t>
            </w:r>
          </w:p>
        </w:tc>
        <w:tc>
          <w:tcPr>
            <w:tcW w:w="2811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>60 %</w:t>
            </w:r>
          </w:p>
        </w:tc>
      </w:tr>
      <w:tr w:rsidR="00B21D0D" w:rsidRPr="00EB3FF4" w:rsidTr="00EB3FF4">
        <w:trPr>
          <w:trHeight w:val="299"/>
        </w:trPr>
        <w:tc>
          <w:tcPr>
            <w:tcW w:w="534" w:type="dxa"/>
            <w:vMerge/>
            <w:shd w:val="clear" w:color="auto" w:fill="auto"/>
          </w:tcPr>
          <w:p w:rsidR="00B21D0D" w:rsidRPr="00EB3FF4" w:rsidRDefault="00B21D0D" w:rsidP="00EB3FF4">
            <w:pPr>
              <w:spacing w:after="0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B21D0D" w:rsidRPr="00EB3FF4" w:rsidRDefault="00B21D0D" w:rsidP="00EB3FF4">
            <w:pPr>
              <w:spacing w:after="0"/>
            </w:pPr>
          </w:p>
        </w:tc>
        <w:tc>
          <w:tcPr>
            <w:tcW w:w="3969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>IV. dohodkovni razred</w:t>
            </w:r>
          </w:p>
        </w:tc>
        <w:tc>
          <w:tcPr>
            <w:tcW w:w="2811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>50 %</w:t>
            </w:r>
          </w:p>
        </w:tc>
      </w:tr>
      <w:tr w:rsidR="00B21D0D" w:rsidRPr="00EB3FF4" w:rsidTr="00EB3FF4">
        <w:trPr>
          <w:trHeight w:val="299"/>
        </w:trPr>
        <w:tc>
          <w:tcPr>
            <w:tcW w:w="534" w:type="dxa"/>
            <w:vMerge/>
            <w:shd w:val="clear" w:color="auto" w:fill="auto"/>
          </w:tcPr>
          <w:p w:rsidR="00B21D0D" w:rsidRPr="00EB3FF4" w:rsidRDefault="00B21D0D" w:rsidP="00EB3FF4">
            <w:pPr>
              <w:spacing w:after="0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B21D0D" w:rsidRPr="00EB3FF4" w:rsidRDefault="00B21D0D" w:rsidP="00EB3FF4">
            <w:pPr>
              <w:spacing w:after="0"/>
            </w:pPr>
          </w:p>
        </w:tc>
        <w:tc>
          <w:tcPr>
            <w:tcW w:w="3969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>V. dohodkovni razred</w:t>
            </w:r>
          </w:p>
        </w:tc>
        <w:tc>
          <w:tcPr>
            <w:tcW w:w="2811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>40 %</w:t>
            </w:r>
          </w:p>
        </w:tc>
      </w:tr>
      <w:tr w:rsidR="00B21D0D" w:rsidRPr="00EB3FF4" w:rsidTr="00EB3FF4">
        <w:trPr>
          <w:trHeight w:val="299"/>
        </w:trPr>
        <w:tc>
          <w:tcPr>
            <w:tcW w:w="534" w:type="dxa"/>
            <w:vMerge/>
            <w:shd w:val="clear" w:color="auto" w:fill="auto"/>
          </w:tcPr>
          <w:p w:rsidR="00B21D0D" w:rsidRPr="00EB3FF4" w:rsidRDefault="00B21D0D" w:rsidP="00EB3FF4">
            <w:pPr>
              <w:spacing w:after="0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B21D0D" w:rsidRPr="00EB3FF4" w:rsidRDefault="00B21D0D" w:rsidP="00EB3FF4">
            <w:pPr>
              <w:spacing w:after="0"/>
            </w:pPr>
          </w:p>
        </w:tc>
        <w:tc>
          <w:tcPr>
            <w:tcW w:w="3969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>VI. dohodkovni razred</w:t>
            </w:r>
          </w:p>
        </w:tc>
        <w:tc>
          <w:tcPr>
            <w:tcW w:w="2811" w:type="dxa"/>
            <w:shd w:val="clear" w:color="auto" w:fill="auto"/>
          </w:tcPr>
          <w:p w:rsidR="00B21D0D" w:rsidRPr="00EB3FF4" w:rsidRDefault="00B21D0D" w:rsidP="00EB3FF4">
            <w:pPr>
              <w:spacing w:after="0"/>
            </w:pPr>
            <w:r w:rsidRPr="00EB3FF4">
              <w:t>30 %</w:t>
            </w:r>
          </w:p>
        </w:tc>
      </w:tr>
      <w:tr w:rsidR="00A61C4F" w:rsidRPr="00EB3FF4" w:rsidTr="00EB3FF4">
        <w:trPr>
          <w:trHeight w:val="299"/>
        </w:trPr>
        <w:tc>
          <w:tcPr>
            <w:tcW w:w="534" w:type="dxa"/>
            <w:shd w:val="clear" w:color="auto" w:fill="auto"/>
          </w:tcPr>
          <w:p w:rsidR="00A61C4F" w:rsidRPr="00EB3FF4" w:rsidRDefault="00A61C4F" w:rsidP="00EB3FF4">
            <w:pPr>
              <w:spacing w:after="0"/>
              <w:rPr>
                <w:b/>
              </w:rPr>
            </w:pPr>
            <w:r w:rsidRPr="00EB3FF4">
              <w:rPr>
                <w:b/>
              </w:rPr>
              <w:t>2.</w:t>
            </w:r>
          </w:p>
        </w:tc>
        <w:tc>
          <w:tcPr>
            <w:tcW w:w="2155" w:type="dxa"/>
            <w:shd w:val="clear" w:color="auto" w:fill="auto"/>
          </w:tcPr>
          <w:p w:rsidR="00A61C4F" w:rsidRPr="00EB3FF4" w:rsidRDefault="00A61C4F" w:rsidP="00EB3FF4">
            <w:pPr>
              <w:spacing w:after="0"/>
            </w:pPr>
            <w:r w:rsidRPr="00EB3FF4">
              <w:t xml:space="preserve">Dodatni kriteriji </w:t>
            </w:r>
          </w:p>
        </w:tc>
        <w:tc>
          <w:tcPr>
            <w:tcW w:w="6780" w:type="dxa"/>
            <w:gridSpan w:val="2"/>
            <w:shd w:val="clear" w:color="auto" w:fill="auto"/>
          </w:tcPr>
          <w:p w:rsidR="00A61C4F" w:rsidRPr="00EB3FF4" w:rsidRDefault="00A61C4F" w:rsidP="00EB3FF4">
            <w:pPr>
              <w:spacing w:after="0"/>
            </w:pPr>
            <w:r w:rsidRPr="00EB3FF4">
              <w:t>Upravni odbor oceni dodaten kriterij in dodeli delež denarne pomoči.</w:t>
            </w:r>
          </w:p>
        </w:tc>
      </w:tr>
    </w:tbl>
    <w:p w:rsidR="006E44B2" w:rsidRPr="00EB3FF4" w:rsidRDefault="006E44B2" w:rsidP="00EB3FF4">
      <w:pPr>
        <w:spacing w:after="0"/>
        <w:jc w:val="left"/>
        <w:rPr>
          <w:sz w:val="8"/>
        </w:rPr>
      </w:pPr>
    </w:p>
    <w:p w:rsidR="00EB3FF4" w:rsidRDefault="00B21D0D" w:rsidP="00EB3FF4">
      <w:pPr>
        <w:spacing w:after="0"/>
        <w:rPr>
          <w:b/>
          <w:u w:val="single"/>
        </w:rPr>
      </w:pPr>
      <w:r w:rsidRPr="00EB3FF4">
        <w:rPr>
          <w:b/>
          <w:u w:val="single"/>
        </w:rPr>
        <w:t>Maksimalna subvencija znaša 80</w:t>
      </w:r>
      <w:r w:rsidR="00A61C4F" w:rsidRPr="00EB3FF4">
        <w:rPr>
          <w:b/>
          <w:u w:val="single"/>
        </w:rPr>
        <w:t xml:space="preserve"> </w:t>
      </w:r>
      <w:r w:rsidRPr="00EB3FF4">
        <w:rPr>
          <w:b/>
          <w:u w:val="single"/>
        </w:rPr>
        <w:t>% zneska vloge.</w:t>
      </w:r>
      <w:r w:rsidR="00EB3FF4">
        <w:rPr>
          <w:b/>
          <w:u w:val="single"/>
        </w:rPr>
        <w:br w:type="page"/>
      </w:r>
    </w:p>
    <w:p w:rsidR="00EB3FF4" w:rsidRPr="00EB3FF4" w:rsidRDefault="00EB3FF4" w:rsidP="00EB3FF4">
      <w:pPr>
        <w:numPr>
          <w:ilvl w:val="0"/>
          <w:numId w:val="3"/>
        </w:numPr>
        <w:spacing w:after="0"/>
        <w:jc w:val="center"/>
        <w:rPr>
          <w:b/>
        </w:rPr>
      </w:pPr>
      <w:r w:rsidRPr="00EB3FF4">
        <w:rPr>
          <w:b/>
        </w:rPr>
        <w:lastRenderedPageBreak/>
        <w:t>člen</w:t>
      </w:r>
    </w:p>
    <w:p w:rsidR="006E44B2" w:rsidRPr="00EB3FF4" w:rsidRDefault="006E44B2" w:rsidP="00EB3FF4">
      <w:pPr>
        <w:spacing w:after="0"/>
        <w:jc w:val="center"/>
        <w:rPr>
          <w:b/>
        </w:rPr>
      </w:pPr>
      <w:r w:rsidRPr="00EB3FF4">
        <w:rPr>
          <w:b/>
        </w:rPr>
        <w:t>Prioriteta dodeljevanja sredstev</w:t>
      </w:r>
    </w:p>
    <w:p w:rsidR="006E44B2" w:rsidRPr="00EB3FF4" w:rsidRDefault="006E44B2" w:rsidP="00EB3FF4">
      <w:pPr>
        <w:spacing w:after="0"/>
      </w:pPr>
      <w:r w:rsidRPr="00EB3FF4">
        <w:t xml:space="preserve">V primeru nezadostnih sredstev imajo pri dodelitvi pomoči </w:t>
      </w:r>
      <w:r w:rsidR="00E12CE4" w:rsidRPr="00EB3FF4">
        <w:t xml:space="preserve">prednost </w:t>
      </w:r>
      <w:r w:rsidR="00A61C4F" w:rsidRPr="00EB3FF4">
        <w:t>učenci</w:t>
      </w:r>
      <w:r w:rsidRPr="00EB3FF4">
        <w:t>, ki bi jim po 2. členu pripadali najvišji deleži pomoči in bi jim bil dodeljen 80</w:t>
      </w:r>
      <w:r w:rsidR="00A61C4F" w:rsidRPr="00EB3FF4">
        <w:t xml:space="preserve"> </w:t>
      </w:r>
      <w:r w:rsidRPr="00EB3FF4">
        <w:t xml:space="preserve">% delež pomoči. </w:t>
      </w:r>
    </w:p>
    <w:p w:rsidR="006E44B2" w:rsidRPr="00EB3FF4" w:rsidRDefault="006E44B2" w:rsidP="00EB3FF4">
      <w:pPr>
        <w:spacing w:after="0"/>
      </w:pPr>
      <w:r w:rsidRPr="00EB3FF4">
        <w:t xml:space="preserve">Če je takih </w:t>
      </w:r>
      <w:r w:rsidR="00A61C4F" w:rsidRPr="00EB3FF4">
        <w:t>učencev</w:t>
      </w:r>
      <w:r w:rsidRPr="00EB3FF4">
        <w:t xml:space="preserve"> znotraj ena</w:t>
      </w:r>
      <w:r w:rsidR="00E12CE4">
        <w:t>kega deleža pomoči še vedno več</w:t>
      </w:r>
      <w:r w:rsidRPr="00EB3FF4">
        <w:t xml:space="preserve"> kot je sredstev, se pomoč najprej dodeli </w:t>
      </w:r>
      <w:r w:rsidR="00A61C4F" w:rsidRPr="00EB3FF4">
        <w:t>učencem</w:t>
      </w:r>
      <w:r w:rsidRPr="00EB3FF4">
        <w:t>, ki izkazujejo najnižji mesečni dohodek na družinskega člana.</w:t>
      </w:r>
    </w:p>
    <w:p w:rsidR="006E44B2" w:rsidRPr="00EB3FF4" w:rsidRDefault="006E44B2" w:rsidP="00EB3FF4">
      <w:pPr>
        <w:spacing w:after="0"/>
      </w:pPr>
    </w:p>
    <w:p w:rsidR="00EB3FF4" w:rsidRPr="00EB3FF4" w:rsidRDefault="00EB3FF4" w:rsidP="00EB3FF4">
      <w:pPr>
        <w:numPr>
          <w:ilvl w:val="0"/>
          <w:numId w:val="3"/>
        </w:numPr>
        <w:spacing w:after="0"/>
        <w:jc w:val="center"/>
        <w:rPr>
          <w:b/>
        </w:rPr>
      </w:pPr>
      <w:r w:rsidRPr="00EB3FF4">
        <w:rPr>
          <w:b/>
        </w:rPr>
        <w:t>člen</w:t>
      </w:r>
    </w:p>
    <w:p w:rsidR="006E44B2" w:rsidRPr="00EB3FF4" w:rsidRDefault="006E44B2" w:rsidP="00EB3FF4">
      <w:pPr>
        <w:spacing w:after="0"/>
        <w:jc w:val="center"/>
        <w:rPr>
          <w:b/>
        </w:rPr>
      </w:pPr>
      <w:r w:rsidRPr="00EB3FF4">
        <w:rPr>
          <w:b/>
        </w:rPr>
        <w:t xml:space="preserve">Dodatni kriteriji za dodeljevanje </w:t>
      </w:r>
      <w:r w:rsidR="006A258A" w:rsidRPr="00EB3FF4">
        <w:rPr>
          <w:b/>
        </w:rPr>
        <w:t>denarne</w:t>
      </w:r>
      <w:r w:rsidRPr="00EB3FF4">
        <w:rPr>
          <w:b/>
        </w:rPr>
        <w:t xml:space="preserve"> pomoči</w:t>
      </w:r>
    </w:p>
    <w:p w:rsidR="006E44B2" w:rsidRPr="00EB3FF4" w:rsidRDefault="006E44B2" w:rsidP="00EB3FF4">
      <w:pPr>
        <w:spacing w:after="0"/>
      </w:pPr>
      <w:r w:rsidRPr="00EB3FF4">
        <w:t xml:space="preserve">Dodatni kriteriji 2. člena, v tabeli pod točko </w:t>
      </w:r>
      <w:r w:rsidR="00A61C4F" w:rsidRPr="00EB3FF4">
        <w:t>2</w:t>
      </w:r>
      <w:r w:rsidRPr="00EB3FF4">
        <w:t>:</w:t>
      </w:r>
    </w:p>
    <w:p w:rsidR="006E44B2" w:rsidRPr="00EB3FF4" w:rsidRDefault="006E44B2" w:rsidP="00EB3FF4">
      <w:pPr>
        <w:numPr>
          <w:ilvl w:val="0"/>
          <w:numId w:val="2"/>
        </w:numPr>
        <w:spacing w:after="0"/>
      </w:pPr>
      <w:r w:rsidRPr="00EB3FF4">
        <w:t>izjemne akutne socialne okoliščine (naravne nesreče, požar, smrt v družini</w:t>
      </w:r>
      <w:r w:rsidR="00E12CE4">
        <w:t xml:space="preserve"> </w:t>
      </w:r>
      <w:r w:rsidRPr="00EB3FF4">
        <w:t xml:space="preserve">…), ki vplivajo na </w:t>
      </w:r>
      <w:r w:rsidR="006A258A" w:rsidRPr="00EB3FF4">
        <w:t>denarno</w:t>
      </w:r>
      <w:r w:rsidRPr="00EB3FF4">
        <w:t xml:space="preserve"> sposobnost družine,</w:t>
      </w:r>
    </w:p>
    <w:p w:rsidR="006E44B2" w:rsidRPr="00EB3FF4" w:rsidRDefault="006E44B2" w:rsidP="00EB3FF4">
      <w:pPr>
        <w:numPr>
          <w:ilvl w:val="0"/>
          <w:numId w:val="2"/>
        </w:numPr>
        <w:spacing w:after="0"/>
      </w:pPr>
      <w:r w:rsidRPr="00EB3FF4">
        <w:t>psiho-socialne in druge dolgotrajne bolezni v družini,</w:t>
      </w:r>
    </w:p>
    <w:p w:rsidR="006E44B2" w:rsidRPr="00EB3FF4" w:rsidRDefault="006E44B2" w:rsidP="00EB3FF4">
      <w:pPr>
        <w:numPr>
          <w:ilvl w:val="0"/>
          <w:numId w:val="2"/>
        </w:numPr>
        <w:spacing w:after="0"/>
      </w:pPr>
      <w:r w:rsidRPr="00EB3FF4">
        <w:t>če je družina trenutno brez dohodkov in čaka na ureditev socialno varstvene pomoči.</w:t>
      </w:r>
    </w:p>
    <w:p w:rsidR="00A61C4F" w:rsidRPr="00EB3FF4" w:rsidRDefault="00A61C4F" w:rsidP="00EB3FF4">
      <w:pPr>
        <w:spacing w:after="0"/>
      </w:pPr>
    </w:p>
    <w:p w:rsidR="006E44B2" w:rsidRPr="00EB3FF4" w:rsidRDefault="00A61C4F" w:rsidP="00EB3FF4">
      <w:pPr>
        <w:spacing w:after="0"/>
      </w:pPr>
      <w:r w:rsidRPr="00EB3FF4">
        <w:t>Upravni odbor oceni dodatne kriterije in na podlagi teh dodeli delež denarne pomoči.</w:t>
      </w:r>
    </w:p>
    <w:p w:rsidR="006E44B2" w:rsidRPr="00EB3FF4" w:rsidRDefault="006E44B2" w:rsidP="00EB3FF4">
      <w:pPr>
        <w:spacing w:after="0"/>
      </w:pPr>
    </w:p>
    <w:p w:rsidR="006E44B2" w:rsidRPr="00EB3FF4" w:rsidRDefault="006E44B2" w:rsidP="00EB3FF4">
      <w:pPr>
        <w:spacing w:after="0"/>
      </w:pPr>
      <w:r w:rsidRPr="00EB3FF4">
        <w:t xml:space="preserve">Delež </w:t>
      </w:r>
      <w:r w:rsidR="006A258A" w:rsidRPr="00EB3FF4">
        <w:t>denarne</w:t>
      </w:r>
      <w:r w:rsidRPr="00EB3FF4">
        <w:t xml:space="preserve"> pomoči se dodeli </w:t>
      </w:r>
      <w:r w:rsidR="00A61C4F" w:rsidRPr="00EB3FF4">
        <w:t>učencu</w:t>
      </w:r>
      <w:r w:rsidRPr="00EB3FF4">
        <w:t>, če je na računu šolskega sklada dovolj sredstev.</w:t>
      </w:r>
    </w:p>
    <w:p w:rsidR="006E44B2" w:rsidRPr="00EB3FF4" w:rsidRDefault="006E44B2" w:rsidP="00EB3FF4">
      <w:pPr>
        <w:spacing w:after="0"/>
      </w:pPr>
      <w:r w:rsidRPr="00EB3FF4">
        <w:t xml:space="preserve">O dodelitvi deleža </w:t>
      </w:r>
      <w:r w:rsidR="006A258A" w:rsidRPr="00EB3FF4">
        <w:t>denarne</w:t>
      </w:r>
      <w:r w:rsidRPr="00EB3FF4">
        <w:t xml:space="preserve"> pomoči posameznemu </w:t>
      </w:r>
      <w:r w:rsidR="00A61C4F" w:rsidRPr="00EB3FF4">
        <w:t>učencu</w:t>
      </w:r>
      <w:r w:rsidRPr="00EB3FF4">
        <w:t xml:space="preserve"> odločajo člani upravnega odbora šolskega sklada. </w:t>
      </w:r>
    </w:p>
    <w:p w:rsidR="006E44B2" w:rsidRPr="00EB3FF4" w:rsidRDefault="006E44B2" w:rsidP="00EB3FF4">
      <w:pPr>
        <w:spacing w:after="0"/>
      </w:pPr>
    </w:p>
    <w:p w:rsidR="00EB3FF4" w:rsidRPr="00EB3FF4" w:rsidRDefault="00EB3FF4" w:rsidP="00EB3FF4">
      <w:pPr>
        <w:numPr>
          <w:ilvl w:val="0"/>
          <w:numId w:val="3"/>
        </w:numPr>
        <w:spacing w:after="0"/>
        <w:jc w:val="center"/>
        <w:rPr>
          <w:b/>
        </w:rPr>
      </w:pPr>
      <w:r w:rsidRPr="00EB3FF4">
        <w:rPr>
          <w:b/>
        </w:rPr>
        <w:t>člen</w:t>
      </w:r>
    </w:p>
    <w:p w:rsidR="006E44B2" w:rsidRPr="00EB3FF4" w:rsidRDefault="006E44B2" w:rsidP="00EB3FF4">
      <w:pPr>
        <w:spacing w:after="0"/>
        <w:jc w:val="center"/>
        <w:rPr>
          <w:b/>
        </w:rPr>
      </w:pPr>
      <w:r w:rsidRPr="00EB3FF4">
        <w:rPr>
          <w:b/>
        </w:rPr>
        <w:t>Podpora nadstandardnim programom</w:t>
      </w:r>
    </w:p>
    <w:p w:rsidR="006E44B2" w:rsidRPr="00EB3FF4" w:rsidRDefault="006E44B2" w:rsidP="00EB3FF4">
      <w:pPr>
        <w:spacing w:after="0"/>
      </w:pPr>
      <w:r w:rsidRPr="00EB3FF4">
        <w:t>Upravni odbor šolskega sklada lahko od</w:t>
      </w:r>
      <w:r w:rsidR="00A61C4F" w:rsidRPr="00EB3FF4">
        <w:t>obri</w:t>
      </w:r>
      <w:r w:rsidRPr="00EB3FF4">
        <w:t xml:space="preserve"> tudi sredstva za nadstandardni program</w:t>
      </w:r>
      <w:r w:rsidR="00E12CE4">
        <w:t>,</w:t>
      </w:r>
      <w:r w:rsidRPr="00EB3FF4">
        <w:t xml:space="preserve"> kamor sodijo dejavnosti v organizaciji šole, ki niso predvidene po LDN-u šole ali pripomočki za potrebe pouka in izvajanje terapij. Člani upravnega odbora sprejmejo odločitev z absolutno večino na podlagi pisne vloge. </w:t>
      </w:r>
      <w:r w:rsidR="00A61C4F" w:rsidRPr="00EB3FF4">
        <w:t>Denarna</w:t>
      </w:r>
      <w:r w:rsidRPr="00EB3FF4">
        <w:t xml:space="preserve"> pomoč se za te namene dodeli, če je na računu dovolj sredstev.</w:t>
      </w:r>
    </w:p>
    <w:p w:rsidR="006E44B2" w:rsidRPr="00EB3FF4" w:rsidRDefault="006E44B2" w:rsidP="00EB3FF4">
      <w:pPr>
        <w:spacing w:after="0"/>
      </w:pPr>
    </w:p>
    <w:p w:rsidR="00EB3FF4" w:rsidRPr="00EB3FF4" w:rsidRDefault="00EB3FF4" w:rsidP="00EB3FF4">
      <w:pPr>
        <w:numPr>
          <w:ilvl w:val="0"/>
          <w:numId w:val="3"/>
        </w:numPr>
        <w:spacing w:after="0"/>
        <w:jc w:val="center"/>
        <w:rPr>
          <w:b/>
        </w:rPr>
      </w:pPr>
      <w:r w:rsidRPr="00EB3FF4">
        <w:rPr>
          <w:b/>
        </w:rPr>
        <w:t>člen</w:t>
      </w:r>
    </w:p>
    <w:p w:rsidR="006E44B2" w:rsidRPr="00EB3FF4" w:rsidRDefault="006E44B2" w:rsidP="00EB3FF4">
      <w:pPr>
        <w:spacing w:after="0"/>
        <w:jc w:val="center"/>
        <w:rPr>
          <w:b/>
        </w:rPr>
      </w:pPr>
      <w:r w:rsidRPr="00EB3FF4">
        <w:rPr>
          <w:b/>
        </w:rPr>
        <w:t xml:space="preserve">Obveščanje </w:t>
      </w:r>
      <w:r w:rsidR="006A258A" w:rsidRPr="00EB3FF4">
        <w:rPr>
          <w:b/>
        </w:rPr>
        <w:t>vlagateljev</w:t>
      </w:r>
    </w:p>
    <w:p w:rsidR="006E44B2" w:rsidRPr="00EB3FF4" w:rsidRDefault="00876831" w:rsidP="00EB3FF4">
      <w:pPr>
        <w:spacing w:after="0"/>
      </w:pPr>
      <w:r>
        <w:t>Upravni o</w:t>
      </w:r>
      <w:r w:rsidR="006E44B2" w:rsidRPr="00EB3FF4">
        <w:t xml:space="preserve">dbor dodeli sredstva sklada posameznim </w:t>
      </w:r>
      <w:r w:rsidR="00A61C4F" w:rsidRPr="00EB3FF4">
        <w:t>vlagateljem</w:t>
      </w:r>
      <w:r w:rsidR="006E44B2" w:rsidRPr="00EB3FF4">
        <w:t xml:space="preserve"> s pisnim sklepom, ki je zapisan v zapisniku.</w:t>
      </w:r>
      <w:r w:rsidR="006A258A" w:rsidRPr="00EB3FF4">
        <w:t xml:space="preserve"> </w:t>
      </w:r>
    </w:p>
    <w:p w:rsidR="006E44B2" w:rsidRPr="00EB3FF4" w:rsidRDefault="006A258A" w:rsidP="00EB3FF4">
      <w:pPr>
        <w:spacing w:after="0"/>
      </w:pPr>
      <w:bookmarkStart w:id="0" w:name="_Hlk183348239"/>
      <w:r w:rsidRPr="00EB3FF4">
        <w:t>Šolska svetovalna služba obvesti</w:t>
      </w:r>
      <w:r w:rsidR="006E44B2" w:rsidRPr="00EB3FF4">
        <w:t xml:space="preserve"> </w:t>
      </w:r>
      <w:r w:rsidR="00A61C4F" w:rsidRPr="00EB3FF4">
        <w:t>vlagatelja</w:t>
      </w:r>
      <w:r w:rsidR="006E44B2" w:rsidRPr="00EB3FF4">
        <w:t xml:space="preserve"> </w:t>
      </w:r>
      <w:r w:rsidRPr="00EB3FF4">
        <w:t>o upravičenosti do odobrenih denarnih sredstev.</w:t>
      </w:r>
    </w:p>
    <w:bookmarkEnd w:id="0"/>
    <w:p w:rsidR="006E44B2" w:rsidRPr="00EB3FF4" w:rsidRDefault="006E44B2" w:rsidP="00EB3FF4">
      <w:pPr>
        <w:spacing w:after="0"/>
      </w:pPr>
    </w:p>
    <w:p w:rsidR="00EB3FF4" w:rsidRPr="00EB3FF4" w:rsidRDefault="00EB3FF4" w:rsidP="00EB3FF4">
      <w:pPr>
        <w:numPr>
          <w:ilvl w:val="0"/>
          <w:numId w:val="3"/>
        </w:numPr>
        <w:spacing w:after="0"/>
        <w:jc w:val="center"/>
        <w:rPr>
          <w:b/>
        </w:rPr>
      </w:pPr>
      <w:r w:rsidRPr="00EB3FF4">
        <w:rPr>
          <w:b/>
        </w:rPr>
        <w:t>člen</w:t>
      </w:r>
    </w:p>
    <w:p w:rsidR="006E44B2" w:rsidRPr="00EB3FF4" w:rsidRDefault="006E44B2" w:rsidP="00EB3FF4">
      <w:pPr>
        <w:spacing w:after="0"/>
        <w:jc w:val="center"/>
        <w:rPr>
          <w:b/>
        </w:rPr>
      </w:pPr>
      <w:r w:rsidRPr="00EB3FF4">
        <w:rPr>
          <w:b/>
        </w:rPr>
        <w:t>Možnost pritožbe</w:t>
      </w:r>
    </w:p>
    <w:p w:rsidR="006E44B2" w:rsidRPr="00EB3FF4" w:rsidRDefault="006E44B2" w:rsidP="00EB3FF4">
      <w:pPr>
        <w:spacing w:after="0"/>
      </w:pPr>
      <w:bookmarkStart w:id="1" w:name="_Hlk183348271"/>
      <w:r w:rsidRPr="00EB3FF4">
        <w:t xml:space="preserve">Če </w:t>
      </w:r>
      <w:r w:rsidR="006A258A" w:rsidRPr="00EB3FF4">
        <w:t>vlagatelj</w:t>
      </w:r>
      <w:r w:rsidRPr="00EB3FF4">
        <w:t xml:space="preserve"> meni, da v postopku odločanja niso bili upoštevani </w:t>
      </w:r>
      <w:r w:rsidR="00E12CE4">
        <w:t xml:space="preserve">vsi </w:t>
      </w:r>
      <w:r w:rsidRPr="00EB3FF4">
        <w:t xml:space="preserve">kriteriji, lahko </w:t>
      </w:r>
      <w:r w:rsidR="006A258A" w:rsidRPr="00EB3FF4">
        <w:t xml:space="preserve">v roku 15 dni od prejema obvestila o odločitvi UO šolskega sklada </w:t>
      </w:r>
      <w:r w:rsidRPr="00EB3FF4">
        <w:t xml:space="preserve">poda pisno pritožbo zoper odločitev </w:t>
      </w:r>
      <w:r w:rsidR="006A258A" w:rsidRPr="00EB3FF4">
        <w:t>na Svet</w:t>
      </w:r>
      <w:r w:rsidRPr="00EB3FF4">
        <w:t xml:space="preserve"> zavoda</w:t>
      </w:r>
      <w:r w:rsidR="006A258A" w:rsidRPr="00EB3FF4">
        <w:t>.</w:t>
      </w:r>
    </w:p>
    <w:bookmarkEnd w:id="1"/>
    <w:p w:rsidR="006E44B2" w:rsidRPr="00EB3FF4" w:rsidRDefault="006E44B2" w:rsidP="00EB3FF4">
      <w:pPr>
        <w:spacing w:after="0"/>
      </w:pPr>
    </w:p>
    <w:p w:rsidR="006A258A" w:rsidRPr="00EB3FF4" w:rsidRDefault="006A258A" w:rsidP="00EB3FF4">
      <w:pPr>
        <w:spacing w:after="0"/>
      </w:pPr>
    </w:p>
    <w:p w:rsidR="006A258A" w:rsidRPr="00EB3FF4" w:rsidRDefault="006A258A" w:rsidP="00EB3FF4">
      <w:pPr>
        <w:spacing w:after="0"/>
        <w:rPr>
          <w:b/>
        </w:rPr>
      </w:pPr>
      <w:r w:rsidRPr="00EB3FF4">
        <w:rPr>
          <w:b/>
        </w:rPr>
        <w:lastRenderedPageBreak/>
        <w:t>S sprejetjem Kriterijev za dodelitev denarne pomoči učencem iz sredstev šolskega sklada, sprejetimi 20. 11. 2024, prenehajo veljati  Kriteriji za dodelitev denarne pomoči učencem iz sredstev šolskega sklada</w:t>
      </w:r>
      <w:r w:rsidR="00E12CE4">
        <w:rPr>
          <w:b/>
        </w:rPr>
        <w:t>,</w:t>
      </w:r>
      <w:r w:rsidRPr="00EB3FF4">
        <w:rPr>
          <w:b/>
        </w:rPr>
        <w:t xml:space="preserve"> z dne 3. 11. 2021.</w:t>
      </w:r>
    </w:p>
    <w:p w:rsidR="006E44B2" w:rsidRPr="00EB3FF4" w:rsidRDefault="006E44B2" w:rsidP="00EB3FF4">
      <w:pPr>
        <w:spacing w:after="0"/>
        <w:jc w:val="right"/>
      </w:pPr>
    </w:p>
    <w:p w:rsidR="006E44B2" w:rsidRPr="00EB3FF4" w:rsidRDefault="006E44B2" w:rsidP="00EB3FF4">
      <w:pPr>
        <w:spacing w:after="0"/>
        <w:jc w:val="right"/>
      </w:pPr>
    </w:p>
    <w:p w:rsidR="006E44B2" w:rsidRPr="00EB3FF4" w:rsidRDefault="006E44B2" w:rsidP="00EB3FF4">
      <w:pPr>
        <w:spacing w:after="0"/>
        <w:jc w:val="right"/>
      </w:pPr>
    </w:p>
    <w:p w:rsidR="006E44B2" w:rsidRPr="00EB3FF4" w:rsidRDefault="006E44B2" w:rsidP="00EB3FF4">
      <w:pPr>
        <w:spacing w:after="0"/>
        <w:jc w:val="right"/>
      </w:pPr>
    </w:p>
    <w:p w:rsidR="006E44B2" w:rsidRPr="00EB3FF4" w:rsidRDefault="006E44B2" w:rsidP="00EB3FF4">
      <w:pPr>
        <w:spacing w:after="0"/>
        <w:jc w:val="right"/>
      </w:pPr>
      <w:r w:rsidRPr="00EB3FF4">
        <w:t>Predsednica UO šolskega sklada:</w:t>
      </w:r>
    </w:p>
    <w:p w:rsidR="006E44B2" w:rsidRPr="00EB3FF4" w:rsidRDefault="006E44B2" w:rsidP="00EB3FF4">
      <w:pPr>
        <w:spacing w:after="0"/>
        <w:jc w:val="right"/>
      </w:pPr>
      <w:r w:rsidRPr="00EB3FF4">
        <w:t>Tanja Prosnik Žunec</w:t>
      </w:r>
    </w:p>
    <w:p w:rsidR="006E44B2" w:rsidRPr="00EB3FF4" w:rsidRDefault="006E44B2" w:rsidP="00EB3FF4">
      <w:pPr>
        <w:spacing w:after="0"/>
        <w:jc w:val="right"/>
      </w:pPr>
    </w:p>
    <w:p w:rsidR="006E44B2" w:rsidRPr="009005BF" w:rsidRDefault="006E44B2" w:rsidP="009005BF">
      <w:pPr>
        <w:rPr>
          <w:rStyle w:val="Poudarek"/>
          <w:i w:val="0"/>
          <w:iCs w:val="0"/>
        </w:rPr>
      </w:pPr>
    </w:p>
    <w:sectPr w:rsidR="006E44B2" w:rsidRPr="009005BF" w:rsidSect="00F13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89" w:rsidRDefault="00371589" w:rsidP="009005BF">
      <w:r>
        <w:separator/>
      </w:r>
    </w:p>
  </w:endnote>
  <w:endnote w:type="continuationSeparator" w:id="0">
    <w:p w:rsidR="00371589" w:rsidRDefault="00371589" w:rsidP="0090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9A" w:rsidRDefault="00AB77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D0CECE" w:themeColor="background2" w:themeShade="E6"/>
      </w:rPr>
      <w:id w:val="1631436819"/>
      <w:docPartObj>
        <w:docPartGallery w:val="Page Numbers (Bottom of Page)"/>
        <w:docPartUnique/>
      </w:docPartObj>
    </w:sdtPr>
    <w:sdtEndPr/>
    <w:sdtContent>
      <w:p w:rsidR="00F13FAB" w:rsidRDefault="00F13FAB">
        <w:pPr>
          <w:pStyle w:val="Noga"/>
          <w:jc w:val="right"/>
          <w:rPr>
            <w:color w:val="D0CECE" w:themeColor="background2" w:themeShade="E6"/>
          </w:rPr>
        </w:pPr>
        <w:r w:rsidRPr="00F13FAB">
          <w:rPr>
            <w:color w:val="D0CECE" w:themeColor="background2" w:themeShade="E6"/>
          </w:rPr>
          <w:fldChar w:fldCharType="begin"/>
        </w:r>
        <w:r w:rsidRPr="00F13FAB">
          <w:rPr>
            <w:color w:val="D0CECE" w:themeColor="background2" w:themeShade="E6"/>
          </w:rPr>
          <w:instrText>PAGE   \* MERGEFORMAT</w:instrText>
        </w:r>
        <w:r w:rsidRPr="00F13FAB">
          <w:rPr>
            <w:color w:val="D0CECE" w:themeColor="background2" w:themeShade="E6"/>
          </w:rPr>
          <w:fldChar w:fldCharType="separate"/>
        </w:r>
        <w:r w:rsidR="00AB779A">
          <w:rPr>
            <w:noProof/>
            <w:color w:val="D0CECE" w:themeColor="background2" w:themeShade="E6"/>
          </w:rPr>
          <w:t>- 2 -</w:t>
        </w:r>
        <w:r w:rsidRPr="00F13FAB">
          <w:rPr>
            <w:color w:val="D0CECE" w:themeColor="background2" w:themeShade="E6"/>
          </w:rPr>
          <w:fldChar w:fldCharType="end"/>
        </w:r>
      </w:p>
      <w:p w:rsidR="00F13FAB" w:rsidRPr="00AB779A" w:rsidRDefault="00371589" w:rsidP="00AB779A">
        <w:pPr>
          <w:pStyle w:val="Noga"/>
        </w:pPr>
      </w:p>
    </w:sdtContent>
  </w:sdt>
  <w:p w:rsidR="009005BF" w:rsidRDefault="009005BF" w:rsidP="009005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22225"/>
      <w:docPartObj>
        <w:docPartGallery w:val="Page Numbers (Bottom of Page)"/>
        <w:docPartUnique/>
      </w:docPartObj>
    </w:sdtPr>
    <w:sdtEndPr>
      <w:rPr>
        <w:color w:val="D0CECE" w:themeColor="background2" w:themeShade="E6"/>
      </w:rPr>
    </w:sdtEndPr>
    <w:sdtContent>
      <w:p w:rsidR="00F13FAB" w:rsidRPr="00F13FAB" w:rsidRDefault="00F13FAB">
        <w:pPr>
          <w:pStyle w:val="Noga"/>
          <w:jc w:val="right"/>
          <w:rPr>
            <w:color w:val="D0CECE" w:themeColor="background2" w:themeShade="E6"/>
          </w:rPr>
        </w:pPr>
        <w:r w:rsidRPr="00F13FAB">
          <w:rPr>
            <w:color w:val="D0CECE" w:themeColor="background2" w:themeShade="E6"/>
          </w:rPr>
          <w:fldChar w:fldCharType="begin"/>
        </w:r>
        <w:r w:rsidRPr="00F13FAB">
          <w:rPr>
            <w:color w:val="D0CECE" w:themeColor="background2" w:themeShade="E6"/>
          </w:rPr>
          <w:instrText>PAGE   \* MERGEFORMAT</w:instrText>
        </w:r>
        <w:r w:rsidRPr="00F13FAB">
          <w:rPr>
            <w:color w:val="D0CECE" w:themeColor="background2" w:themeShade="E6"/>
          </w:rPr>
          <w:fldChar w:fldCharType="separate"/>
        </w:r>
        <w:r w:rsidR="00AB779A">
          <w:rPr>
            <w:noProof/>
            <w:color w:val="D0CECE" w:themeColor="background2" w:themeShade="E6"/>
          </w:rPr>
          <w:t>- 1 -</w:t>
        </w:r>
        <w:r w:rsidRPr="00F13FAB">
          <w:rPr>
            <w:color w:val="D0CECE" w:themeColor="background2" w:themeShade="E6"/>
          </w:rPr>
          <w:fldChar w:fldCharType="end"/>
        </w:r>
      </w:p>
    </w:sdtContent>
  </w:sdt>
  <w:p w:rsidR="00F13FAB" w:rsidRDefault="00371589" w:rsidP="00F13FAB">
    <w:pPr>
      <w:pStyle w:val="Noga"/>
    </w:pPr>
    <w:r>
      <w:pict>
        <v:rect id="_x0000_i1051" style="width:453.5pt;height:1.5pt" o:hralign="center" o:hrstd="t" o:hrnoshade="t" o:hr="t" fillcolor="#bfbfbf [2412]" stroked="f"/>
      </w:pict>
    </w:r>
    <w:bookmarkStart w:id="2" w:name="_GoBack"/>
    <w:bookmarkEnd w:id="2"/>
  </w:p>
  <w:tbl>
    <w:tblPr>
      <w:tblStyle w:val="Tabelamre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31"/>
    </w:tblGrid>
    <w:tr w:rsidR="00F13FAB" w:rsidRPr="009C2C71" w:rsidTr="00F70028">
      <w:tc>
        <w:tcPr>
          <w:tcW w:w="3020" w:type="dxa"/>
        </w:tcPr>
        <w:p w:rsidR="00F13FAB" w:rsidRPr="009C2C71" w:rsidRDefault="00F13FAB" w:rsidP="00F13FAB">
          <w:pPr>
            <w:pStyle w:val="Noga"/>
            <w:rPr>
              <w:color w:val="404040" w:themeColor="text1" w:themeTint="BF"/>
              <w:sz w:val="18"/>
            </w:rPr>
          </w:pPr>
          <w:r w:rsidRPr="009C2C71">
            <w:rPr>
              <w:color w:val="404040" w:themeColor="text1" w:themeTint="BF"/>
              <w:sz w:val="18"/>
            </w:rPr>
            <w:t>ID za DDV: SI10523677</w:t>
          </w:r>
        </w:p>
      </w:tc>
      <w:tc>
        <w:tcPr>
          <w:tcW w:w="3021" w:type="dxa"/>
        </w:tcPr>
        <w:p w:rsidR="00F13FAB" w:rsidRPr="009C2C71" w:rsidRDefault="00F13FAB" w:rsidP="00F13FAB">
          <w:pPr>
            <w:pStyle w:val="Noga"/>
            <w:jc w:val="center"/>
            <w:rPr>
              <w:color w:val="404040" w:themeColor="text1" w:themeTint="BF"/>
              <w:sz w:val="18"/>
            </w:rPr>
          </w:pPr>
          <w:r w:rsidRPr="009C2C71">
            <w:rPr>
              <w:color w:val="404040" w:themeColor="text1" w:themeTint="BF"/>
              <w:sz w:val="18"/>
            </w:rPr>
            <w:t>matična številka: 5171059000</w:t>
          </w:r>
        </w:p>
      </w:tc>
      <w:tc>
        <w:tcPr>
          <w:tcW w:w="3031" w:type="dxa"/>
        </w:tcPr>
        <w:p w:rsidR="00F13FAB" w:rsidRPr="009C2C71" w:rsidRDefault="00F13FAB" w:rsidP="00F13FAB">
          <w:pPr>
            <w:pStyle w:val="Noga"/>
            <w:jc w:val="right"/>
            <w:rPr>
              <w:color w:val="404040" w:themeColor="text1" w:themeTint="BF"/>
              <w:sz w:val="18"/>
            </w:rPr>
          </w:pPr>
          <w:r w:rsidRPr="009C2C71">
            <w:rPr>
              <w:color w:val="404040" w:themeColor="text1" w:themeTint="BF"/>
              <w:sz w:val="18"/>
            </w:rPr>
            <w:t>TRR: SI56 0110 0600 7817 447</w:t>
          </w:r>
        </w:p>
      </w:tc>
    </w:tr>
  </w:tbl>
  <w:p w:rsidR="001E0C7F" w:rsidRDefault="001E0C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89" w:rsidRDefault="00371589" w:rsidP="009005BF">
      <w:r>
        <w:separator/>
      </w:r>
    </w:p>
  </w:footnote>
  <w:footnote w:type="continuationSeparator" w:id="0">
    <w:p w:rsidR="00371589" w:rsidRDefault="00371589" w:rsidP="0090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9A" w:rsidRDefault="00AB779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9A" w:rsidRDefault="00AB779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C7F" w:rsidRDefault="001E0C7F">
    <w:pPr>
      <w:pStyle w:val="Glava"/>
    </w:pPr>
    <w:r w:rsidRPr="009005BF">
      <w:rPr>
        <w:noProof/>
        <w:lang w:val="en-US"/>
      </w:rPr>
      <w:drawing>
        <wp:inline distT="0" distB="0" distL="0" distR="0" wp14:anchorId="3FA0243C" wp14:editId="7D9AE7E3">
          <wp:extent cx="5760720" cy="907415"/>
          <wp:effectExtent l="0" t="0" r="0" b="698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C62"/>
    <w:multiLevelType w:val="hybridMultilevel"/>
    <w:tmpl w:val="9FBC94E0"/>
    <w:lvl w:ilvl="0" w:tplc="74600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A17FC"/>
    <w:multiLevelType w:val="hybridMultilevel"/>
    <w:tmpl w:val="C1B4A4DE"/>
    <w:lvl w:ilvl="0" w:tplc="0424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626C4FF0">
      <w:start w:val="8"/>
      <w:numFmt w:val="bullet"/>
      <w:lvlText w:val="-"/>
      <w:lvlJc w:val="left"/>
      <w:pPr>
        <w:ind w:left="1647" w:hanging="360"/>
      </w:pPr>
      <w:rPr>
        <w:rFonts w:ascii="Calibri" w:eastAsiaTheme="minorEastAsia" w:hAnsi="Calibri" w:cstheme="minorBidi" w:hint="default"/>
      </w:r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0201B1"/>
    <w:multiLevelType w:val="hybridMultilevel"/>
    <w:tmpl w:val="112AFB8A"/>
    <w:lvl w:ilvl="0" w:tplc="FEF820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B96298"/>
    <w:multiLevelType w:val="hybridMultilevel"/>
    <w:tmpl w:val="6E2050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C2F72"/>
    <w:multiLevelType w:val="hybridMultilevel"/>
    <w:tmpl w:val="E73ED136"/>
    <w:lvl w:ilvl="0" w:tplc="B90A39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42C6B"/>
    <w:multiLevelType w:val="hybridMultilevel"/>
    <w:tmpl w:val="999470D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7F"/>
    <w:rsid w:val="00030082"/>
    <w:rsid w:val="00074723"/>
    <w:rsid w:val="00117244"/>
    <w:rsid w:val="0012157C"/>
    <w:rsid w:val="001635C4"/>
    <w:rsid w:val="001E0C7F"/>
    <w:rsid w:val="00245798"/>
    <w:rsid w:val="00371589"/>
    <w:rsid w:val="00461A0D"/>
    <w:rsid w:val="00517A61"/>
    <w:rsid w:val="006A258A"/>
    <w:rsid w:val="006E44B2"/>
    <w:rsid w:val="0075744A"/>
    <w:rsid w:val="00876831"/>
    <w:rsid w:val="009005BF"/>
    <w:rsid w:val="00A13BDC"/>
    <w:rsid w:val="00A61C4F"/>
    <w:rsid w:val="00AB779A"/>
    <w:rsid w:val="00B21D0D"/>
    <w:rsid w:val="00BF65CE"/>
    <w:rsid w:val="00CE3095"/>
    <w:rsid w:val="00D26D05"/>
    <w:rsid w:val="00E12CE4"/>
    <w:rsid w:val="00E700D6"/>
    <w:rsid w:val="00E87120"/>
    <w:rsid w:val="00EB3FF4"/>
    <w:rsid w:val="00EC57EF"/>
    <w:rsid w:val="00F13FAB"/>
    <w:rsid w:val="00F2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C2B36"/>
  <w15:chartTrackingRefBased/>
  <w15:docId w15:val="{6E9035D4-5591-490E-A252-A6E851B2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05BF"/>
    <w:pPr>
      <w:spacing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slov1">
    <w:name w:val="heading 1"/>
    <w:basedOn w:val="Naslov"/>
    <w:next w:val="Navaden"/>
    <w:link w:val="Naslov1Znak"/>
    <w:uiPriority w:val="9"/>
    <w:qFormat/>
    <w:rsid w:val="009005BF"/>
    <w:pPr>
      <w:jc w:val="left"/>
      <w:outlineLvl w:val="0"/>
    </w:pPr>
    <w:rPr>
      <w:b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005BF"/>
    <w:pPr>
      <w:jc w:val="left"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05BF"/>
  </w:style>
  <w:style w:type="paragraph" w:styleId="Noga">
    <w:name w:val="footer"/>
    <w:basedOn w:val="Navaden"/>
    <w:link w:val="NogaZnak"/>
    <w:uiPriority w:val="99"/>
    <w:unhideWhenUsed/>
    <w:rsid w:val="0090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05BF"/>
  </w:style>
  <w:style w:type="character" w:styleId="Poudarek">
    <w:name w:val="Emphasis"/>
    <w:basedOn w:val="Privzetapisavaodstavka"/>
    <w:uiPriority w:val="20"/>
    <w:qFormat/>
    <w:rsid w:val="009005BF"/>
    <w:rPr>
      <w:i/>
      <w:iCs/>
    </w:rPr>
  </w:style>
  <w:style w:type="paragraph" w:styleId="Brezrazmikov">
    <w:name w:val="No Spacing"/>
    <w:basedOn w:val="Navaden"/>
    <w:uiPriority w:val="1"/>
    <w:qFormat/>
    <w:rsid w:val="009005B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9005BF"/>
    <w:rPr>
      <w:rFonts w:ascii="Times New Roman" w:hAnsi="Times New Roman" w:cs="Times New Roman"/>
      <w:b/>
      <w:sz w:val="32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9005BF"/>
    <w:rPr>
      <w:sz w:val="40"/>
      <w:szCs w:val="40"/>
    </w:rPr>
  </w:style>
  <w:style w:type="character" w:customStyle="1" w:styleId="NaslovZnak">
    <w:name w:val="Naslov Znak"/>
    <w:basedOn w:val="Privzetapisavaodstavka"/>
    <w:link w:val="Naslov"/>
    <w:uiPriority w:val="10"/>
    <w:rsid w:val="009005BF"/>
    <w:rPr>
      <w:rFonts w:ascii="Times New Roman" w:hAnsi="Times New Roman" w:cs="Times New Roman"/>
      <w:sz w:val="40"/>
      <w:szCs w:val="4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005BF"/>
    <w:rPr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005BF"/>
    <w:rPr>
      <w:rFonts w:ascii="Times New Roman" w:hAnsi="Times New Roman" w:cs="Times New Roman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005BF"/>
    <w:rPr>
      <w:rFonts w:ascii="Times New Roman" w:hAnsi="Times New Roman" w:cs="Times New Roman"/>
      <w:b/>
      <w:sz w:val="28"/>
      <w:szCs w:val="24"/>
    </w:rPr>
  </w:style>
  <w:style w:type="character" w:styleId="Krepko">
    <w:name w:val="Strong"/>
    <w:basedOn w:val="Privzetapisavaodstavka"/>
    <w:uiPriority w:val="22"/>
    <w:qFormat/>
    <w:rsid w:val="009005BF"/>
    <w:rPr>
      <w:b/>
      <w:bCs/>
      <w:sz w:val="24"/>
    </w:rPr>
  </w:style>
  <w:style w:type="table" w:styleId="Tabelamrea">
    <w:name w:val="Table Grid"/>
    <w:basedOn w:val="Navadnatabela"/>
    <w:uiPriority w:val="39"/>
    <w:rsid w:val="0090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4B2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Besedilooznabemesta">
    <w:name w:val="Placeholder Text"/>
    <w:basedOn w:val="Privzetapisavaodstavka"/>
    <w:uiPriority w:val="99"/>
    <w:semiHidden/>
    <w:rsid w:val="00F13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\Downloads\Uradna%20predloga%20z%20glavo%20in%20nogo%20dokumenta%20urejena%2011-19-2024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Uradna predloga z glavo in nogo dokumenta urejena 11-19-2024</Template>
  <TotalTime>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in noga za uradne dokumente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in noga za uradne dokumente</dc:title>
  <dc:subject/>
  <dc:creator>Alenka Niedorfer</dc:creator>
  <cp:keywords>predloga</cp:keywords>
  <dc:description/>
  <cp:lastModifiedBy>PC9-4P</cp:lastModifiedBy>
  <cp:revision>3</cp:revision>
  <dcterms:created xsi:type="dcterms:W3CDTF">2024-11-25T20:33:00Z</dcterms:created>
  <dcterms:modified xsi:type="dcterms:W3CDTF">2024-11-29T12:05:00Z</dcterms:modified>
</cp:coreProperties>
</file>